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left w:val="single" w:sz="4" w:space="0" w:color="auto"/>
          <w:bottom w:val="single" w:sz="4" w:space="0" w:color="auto"/>
          <w:right w:val="single" w:sz="4" w:space="0" w:color="auto"/>
        </w:tblBorders>
        <w:tblLook w:val="01E0" w:firstRow="1" w:lastRow="1" w:firstColumn="1" w:lastColumn="1" w:noHBand="0" w:noVBand="0"/>
      </w:tblPr>
      <w:tblGrid>
        <w:gridCol w:w="1483"/>
        <w:gridCol w:w="8093"/>
      </w:tblGrid>
      <w:tr w:rsidR="0081026F">
        <w:tc>
          <w:tcPr>
            <w:tcW w:w="1483" w:type="dxa"/>
          </w:tcPr>
          <w:p w:rsidR="0081026F" w:rsidRPr="0081026F" w:rsidRDefault="0081026F" w:rsidP="0081026F">
            <w:pPr>
              <w:spacing w:before="100" w:beforeAutospacing="1"/>
              <w:rPr>
                <w:b/>
              </w:rPr>
            </w:pPr>
          </w:p>
          <w:p w:rsidR="0081026F" w:rsidRPr="0081026F" w:rsidRDefault="0081026F">
            <w:pPr>
              <w:rPr>
                <w:b/>
              </w:rPr>
            </w:pPr>
          </w:p>
          <w:p w:rsidR="0081026F" w:rsidRPr="0081026F" w:rsidRDefault="0081026F">
            <w:pPr>
              <w:rPr>
                <w:b/>
              </w:rPr>
            </w:pPr>
            <w:r w:rsidRPr="0081026F">
              <w:rPr>
                <w:b/>
              </w:rPr>
              <w:t>Description:</w:t>
            </w:r>
          </w:p>
        </w:tc>
        <w:tc>
          <w:tcPr>
            <w:tcW w:w="8093" w:type="dxa"/>
          </w:tcPr>
          <w:p w:rsidR="0081026F" w:rsidRDefault="0081026F" w:rsidP="0081026F">
            <w:pPr>
              <w:ind w:right="360"/>
              <w:jc w:val="both"/>
            </w:pPr>
          </w:p>
          <w:p w:rsidR="0081026F" w:rsidRDefault="0081026F" w:rsidP="0081026F">
            <w:pPr>
              <w:ind w:right="360"/>
              <w:jc w:val="both"/>
            </w:pPr>
          </w:p>
          <w:p w:rsidR="0081026F" w:rsidRDefault="0081026F" w:rsidP="00B95DF5">
            <w:pPr>
              <w:ind w:right="360"/>
              <w:jc w:val="both"/>
            </w:pPr>
            <w:r>
              <w:t>Boyce Thompson Institute</w:t>
            </w:r>
            <w:r w:rsidR="00B95DF5">
              <w:t xml:space="preserve"> (BTI)</w:t>
            </w:r>
            <w:r>
              <w:t xml:space="preserve"> has developed a Supplier Selection Policy to define the responsibility for and provide basic guidelines for supplier selection</w:t>
            </w:r>
            <w:r w:rsidR="00B95DF5">
              <w:t>, in alignment with all applicable sections of the Code of Federal Regulations.</w:t>
            </w:r>
            <w:r>
              <w:t xml:space="preserve"> </w:t>
            </w:r>
          </w:p>
        </w:tc>
      </w:tr>
      <w:tr w:rsidR="0081026F">
        <w:tc>
          <w:tcPr>
            <w:tcW w:w="1483" w:type="dxa"/>
          </w:tcPr>
          <w:p w:rsidR="0081026F" w:rsidRDefault="0081026F"/>
          <w:p w:rsidR="0081026F" w:rsidRDefault="0081026F"/>
          <w:p w:rsidR="0081026F" w:rsidRPr="0081026F" w:rsidRDefault="0081026F">
            <w:pPr>
              <w:rPr>
                <w:b/>
              </w:rPr>
            </w:pPr>
            <w:r w:rsidRPr="0081026F">
              <w:rPr>
                <w:b/>
              </w:rPr>
              <w:t>Policy:</w:t>
            </w:r>
          </w:p>
        </w:tc>
        <w:tc>
          <w:tcPr>
            <w:tcW w:w="8093" w:type="dxa"/>
          </w:tcPr>
          <w:p w:rsidR="0081026F" w:rsidRDefault="0081026F" w:rsidP="0081026F">
            <w:pPr>
              <w:ind w:right="216"/>
              <w:jc w:val="both"/>
            </w:pPr>
          </w:p>
          <w:p w:rsidR="0081026F" w:rsidRDefault="0081026F" w:rsidP="0081026F">
            <w:pPr>
              <w:ind w:right="216"/>
              <w:jc w:val="both"/>
            </w:pPr>
          </w:p>
          <w:p w:rsidR="00ED54C0" w:rsidRDefault="00B95DF5" w:rsidP="0014300F">
            <w:pPr>
              <w:spacing w:after="120"/>
              <w:ind w:right="360"/>
              <w:jc w:val="both"/>
            </w:pPr>
            <w:r>
              <w:t>1.</w:t>
            </w:r>
            <w:r w:rsidR="00ED54C0">
              <w:t xml:space="preserve"> </w:t>
            </w:r>
            <w:r w:rsidR="0081026F">
              <w:t>It is the policy of Boyce Thompson Institute that the selection of suppliers is the responsibility of</w:t>
            </w:r>
            <w:r>
              <w:t xml:space="preserve"> its designated purchasing personnel.</w:t>
            </w:r>
            <w:r w:rsidR="0081026F">
              <w:t xml:space="preserve"> </w:t>
            </w:r>
          </w:p>
          <w:p w:rsidR="00DF063C" w:rsidRDefault="00B95DF5" w:rsidP="0014300F">
            <w:pPr>
              <w:spacing w:after="120"/>
              <w:ind w:right="360"/>
              <w:jc w:val="both"/>
            </w:pPr>
            <w:r>
              <w:t>2. BTI’</w:t>
            </w:r>
            <w:r w:rsidR="00DF063C">
              <w:t>s purchasing personnel will take all necessary affirmative action steps to assure that minority businesses, women’s business enterprises and labor surplus firms are considered in all supplier selection activities (refer to Policy No. 20.620 Minority Suppliers &amp; Preferred Vendors).</w:t>
            </w:r>
          </w:p>
          <w:p w:rsidR="00DF063C" w:rsidRDefault="00DF063C" w:rsidP="0014300F">
            <w:pPr>
              <w:spacing w:after="120"/>
              <w:ind w:right="360"/>
              <w:jc w:val="both"/>
            </w:pPr>
            <w:r>
              <w:t xml:space="preserve">3. BTI’s purchasing personnel will conduct all procurement </w:t>
            </w:r>
            <w:r w:rsidR="00BE4D45">
              <w:t>t</w:t>
            </w:r>
            <w:r>
              <w:t>ransactions in a manner providing full and open competition (refer to Policy No. 20.655 Quotations &amp; Competitive Bids).</w:t>
            </w:r>
          </w:p>
          <w:p w:rsidR="00972F2E" w:rsidRDefault="005A29AB" w:rsidP="0014300F">
            <w:pPr>
              <w:spacing w:after="120"/>
              <w:ind w:right="360"/>
              <w:jc w:val="both"/>
            </w:pPr>
            <w:r>
              <w:t>4. N</w:t>
            </w:r>
            <w:r w:rsidR="00DF063C">
              <w:t xml:space="preserve">o BTI employee, officer or agent may participate in the selection, award or administration of a contract </w:t>
            </w:r>
            <w:r>
              <w:t>if he or she has a real or apparent conflict of interest (refer to Policy No. 20.600 Ethical Practi</w:t>
            </w:r>
            <w:r w:rsidR="00BE4D45">
              <w:t>c</w:t>
            </w:r>
            <w:r>
              <w:t xml:space="preserve">es &amp; </w:t>
            </w:r>
            <w:r w:rsidR="00BE4D45">
              <w:t>S</w:t>
            </w:r>
            <w:r>
              <w:t xml:space="preserve">upplier Relations). </w:t>
            </w:r>
          </w:p>
          <w:p w:rsidR="00972F2E" w:rsidRDefault="00972F2E" w:rsidP="0014300F">
            <w:pPr>
              <w:spacing w:after="120"/>
              <w:ind w:right="360"/>
              <w:jc w:val="both"/>
            </w:pPr>
            <w:r>
              <w:t>5. BTI must, in the process of supplier selection, avoid all instances of organizational conflict of interes</w:t>
            </w:r>
            <w:r w:rsidR="00DA5695">
              <w:t>t</w:t>
            </w:r>
            <w:r>
              <w:t xml:space="preserve"> (refer to Policy No. 20.600 Ethical Practices &amp; Supplier Relations).</w:t>
            </w:r>
            <w:bookmarkStart w:id="0" w:name="_GoBack"/>
            <w:bookmarkEnd w:id="0"/>
          </w:p>
          <w:p w:rsidR="0081026F" w:rsidRDefault="00972F2E" w:rsidP="0014300F">
            <w:pPr>
              <w:spacing w:after="120"/>
              <w:ind w:right="360"/>
              <w:jc w:val="both"/>
            </w:pPr>
            <w:r>
              <w:t xml:space="preserve">6. </w:t>
            </w:r>
            <w:r w:rsidR="007D25C6">
              <w:t>BTI must award contracts only to responsible contractors and suppliers that possess the ability to perform under the terms and conditions of a proposed procurement.  Consideration will be given to such matters as integrity, compliance with public policy,</w:t>
            </w:r>
            <w:r w:rsidR="00BE4D45">
              <w:t xml:space="preserve"> </w:t>
            </w:r>
            <w:r w:rsidR="0081026F">
              <w:t>dependability and service record</w:t>
            </w:r>
            <w:r w:rsidR="007D25C6">
              <w:t>,</w:t>
            </w:r>
            <w:r w:rsidR="0081026F">
              <w:t xml:space="preserve"> the nature of the guarantee and warranty of the product, its price, and quality. </w:t>
            </w:r>
          </w:p>
        </w:tc>
      </w:tr>
      <w:tr w:rsidR="0081026F">
        <w:tc>
          <w:tcPr>
            <w:tcW w:w="1483" w:type="dxa"/>
          </w:tcPr>
          <w:p w:rsidR="0081026F" w:rsidRPr="0081026F" w:rsidRDefault="0081026F" w:rsidP="0081026F">
            <w:pPr>
              <w:jc w:val="both"/>
              <w:rPr>
                <w:b/>
              </w:rPr>
            </w:pPr>
          </w:p>
          <w:p w:rsidR="0081026F" w:rsidRPr="0081026F" w:rsidRDefault="0081026F" w:rsidP="0081026F">
            <w:pPr>
              <w:jc w:val="both"/>
              <w:rPr>
                <w:b/>
              </w:rPr>
            </w:pPr>
          </w:p>
          <w:p w:rsidR="0081026F" w:rsidRPr="0081026F" w:rsidRDefault="0081026F" w:rsidP="0081026F">
            <w:pPr>
              <w:jc w:val="both"/>
              <w:rPr>
                <w:b/>
              </w:rPr>
            </w:pPr>
            <w:r w:rsidRPr="0081026F">
              <w:rPr>
                <w:b/>
              </w:rPr>
              <w:t>Procedure:</w:t>
            </w:r>
          </w:p>
          <w:p w:rsidR="0081026F" w:rsidRPr="0081026F" w:rsidRDefault="0081026F" w:rsidP="0081026F">
            <w:pPr>
              <w:jc w:val="both"/>
              <w:rPr>
                <w:b/>
              </w:rPr>
            </w:pPr>
          </w:p>
        </w:tc>
        <w:tc>
          <w:tcPr>
            <w:tcW w:w="8093" w:type="dxa"/>
          </w:tcPr>
          <w:p w:rsidR="0081026F" w:rsidRDefault="0081026F" w:rsidP="0081026F">
            <w:pPr>
              <w:ind w:right="216"/>
              <w:jc w:val="both"/>
            </w:pPr>
          </w:p>
          <w:p w:rsidR="0081026F" w:rsidRDefault="0081026F" w:rsidP="0081026F">
            <w:pPr>
              <w:ind w:right="216"/>
              <w:jc w:val="both"/>
            </w:pPr>
          </w:p>
          <w:p w:rsidR="0081026F" w:rsidRDefault="0081026F" w:rsidP="0081026F">
            <w:pPr>
              <w:numPr>
                <w:ilvl w:val="0"/>
                <w:numId w:val="10"/>
              </w:numPr>
              <w:spacing w:after="120"/>
              <w:ind w:right="360"/>
              <w:jc w:val="both"/>
            </w:pPr>
            <w:r>
              <w:t xml:space="preserve">When the stockroom is assisting other departments, they will obtain adequate and reasonable specifications. </w:t>
            </w:r>
          </w:p>
          <w:p w:rsidR="0081026F" w:rsidRDefault="0081026F" w:rsidP="0081026F">
            <w:pPr>
              <w:numPr>
                <w:ilvl w:val="0"/>
                <w:numId w:val="10"/>
              </w:numPr>
              <w:spacing w:after="120"/>
              <w:ind w:right="360"/>
              <w:jc w:val="both"/>
            </w:pPr>
            <w:r>
              <w:t>Whenever possible, identification of brand names, or sufficient detail, should be obtained to ensure that the order may be correctly filled.</w:t>
            </w:r>
          </w:p>
          <w:p w:rsidR="0081026F" w:rsidRDefault="0081026F" w:rsidP="0081026F">
            <w:pPr>
              <w:spacing w:after="120"/>
              <w:ind w:right="360"/>
              <w:jc w:val="both"/>
            </w:pPr>
          </w:p>
          <w:p w:rsidR="0081026F" w:rsidRDefault="0081026F" w:rsidP="0081026F">
            <w:pPr>
              <w:spacing w:after="120"/>
              <w:ind w:right="360"/>
              <w:jc w:val="both"/>
            </w:pPr>
          </w:p>
        </w:tc>
      </w:tr>
    </w:tbl>
    <w:p w:rsidR="0081026F" w:rsidRDefault="0081026F" w:rsidP="0081026F">
      <w:pPr>
        <w:spacing w:line="14" w:lineRule="auto"/>
        <w:jc w:val="both"/>
      </w:pPr>
    </w:p>
    <w:sectPr w:rsidR="0081026F" w:rsidSect="0081026F">
      <w:headerReference w:type="default" r:id="rId7"/>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96" w:rsidRDefault="000F0596">
      <w:r>
        <w:separator/>
      </w:r>
    </w:p>
  </w:endnote>
  <w:endnote w:type="continuationSeparator" w:id="0">
    <w:p w:rsidR="000F0596" w:rsidRDefault="000F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6F" w:rsidRPr="00A81495" w:rsidRDefault="0081026F" w:rsidP="0081026F">
    <w:pPr>
      <w:pStyle w:val="Footer"/>
      <w:rPr>
        <w:rFonts w:ascii="Arial" w:hAnsi="Arial" w:cs="Arial"/>
        <w:b/>
      </w:rPr>
    </w:pPr>
    <w:r>
      <w:rPr>
        <w:rFonts w:ascii="Arial" w:hAnsi="Arial" w:cs="Arial"/>
        <w:sz w:val="20"/>
        <w:szCs w:val="20"/>
      </w:rPr>
      <w:t>Copyright © 2009 Boyce Thompson Institute</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96" w:rsidRDefault="000F0596">
      <w:r>
        <w:separator/>
      </w:r>
    </w:p>
  </w:footnote>
  <w:footnote w:type="continuationSeparator" w:id="0">
    <w:p w:rsidR="000F0596" w:rsidRDefault="000F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473"/>
      <w:gridCol w:w="1442"/>
      <w:gridCol w:w="1915"/>
      <w:gridCol w:w="1915"/>
      <w:gridCol w:w="1916"/>
    </w:tblGrid>
    <w:tr w:rsidR="0081026F" w:rsidRPr="0081026F">
      <w:tc>
        <w:tcPr>
          <w:tcW w:w="2388" w:type="dxa"/>
          <w:gridSpan w:val="2"/>
          <w:tcBorders>
            <w:right w:val="nil"/>
          </w:tcBorders>
        </w:tcPr>
        <w:p w:rsidR="0081026F" w:rsidRPr="0081026F" w:rsidRDefault="0014300F" w:rsidP="0081026F">
          <w:pPr>
            <w:rPr>
              <w:rFonts w:ascii="Arial" w:hAnsi="Arial" w:cs="Arial"/>
              <w:b/>
              <w:bCs/>
            </w:rPr>
          </w:pPr>
          <w:r>
            <w:rPr>
              <w:b/>
              <w:noProof/>
              <w:sz w:val="40"/>
              <w:szCs w:val="40"/>
            </w:rPr>
            <w:drawing>
              <wp:inline distT="0" distB="0" distL="0" distR="0">
                <wp:extent cx="1238250" cy="1028700"/>
                <wp:effectExtent l="0" t="0" r="0" b="0"/>
                <wp:docPr id="1" name="Picture 1" descr="Final_B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B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p>
      </w:tc>
      <w:tc>
        <w:tcPr>
          <w:tcW w:w="7188" w:type="dxa"/>
          <w:gridSpan w:val="4"/>
          <w:tcBorders>
            <w:left w:val="nil"/>
          </w:tcBorders>
        </w:tcPr>
        <w:p w:rsidR="0081026F" w:rsidRPr="0081026F" w:rsidRDefault="0081026F" w:rsidP="0081026F">
          <w:pPr>
            <w:spacing w:before="360"/>
            <w:rPr>
              <w:rFonts w:ascii="Arial" w:hAnsi="Arial" w:cs="Arial"/>
              <w:b/>
              <w:bCs/>
              <w:i/>
              <w:smallCaps/>
              <w:sz w:val="36"/>
              <w:szCs w:val="36"/>
            </w:rPr>
          </w:pPr>
          <w:r w:rsidRPr="0081026F">
            <w:rPr>
              <w:rFonts w:ascii="Arial" w:hAnsi="Arial" w:cs="Arial"/>
              <w:b/>
              <w:bCs/>
              <w:i/>
              <w:smallCaps/>
              <w:sz w:val="36"/>
              <w:szCs w:val="36"/>
            </w:rPr>
            <w:t>Policy and Procedure</w:t>
          </w:r>
        </w:p>
        <w:p w:rsidR="0081026F" w:rsidRPr="0081026F" w:rsidRDefault="0081026F" w:rsidP="0081026F">
          <w:pPr>
            <w:spacing w:before="240"/>
            <w:rPr>
              <w:rFonts w:ascii="Arial" w:hAnsi="Arial" w:cs="Arial"/>
              <w:b/>
              <w:bCs/>
              <w:sz w:val="28"/>
              <w:szCs w:val="28"/>
            </w:rPr>
          </w:pPr>
          <w:r w:rsidRPr="0081026F">
            <w:rPr>
              <w:rFonts w:ascii="Arial" w:hAnsi="Arial" w:cs="Arial"/>
              <w:b/>
              <w:bCs/>
              <w:sz w:val="28"/>
              <w:szCs w:val="28"/>
            </w:rPr>
            <w:t>Supplier Selection</w:t>
          </w:r>
        </w:p>
      </w:tc>
    </w:tr>
    <w:tr w:rsidR="0081026F">
      <w:tblPrEx>
        <w:tblLook w:val="0000" w:firstRow="0" w:lastRow="0" w:firstColumn="0" w:lastColumn="0" w:noHBand="0" w:noVBand="0"/>
      </w:tblPrEx>
      <w:tc>
        <w:tcPr>
          <w:tcW w:w="1915" w:type="dxa"/>
          <w:tcBorders>
            <w:top w:val="nil"/>
            <w:bottom w:val="nil"/>
          </w:tcBorders>
        </w:tcPr>
        <w:p w:rsidR="0081026F" w:rsidRPr="00CE5F5A" w:rsidRDefault="0081026F" w:rsidP="0081026F">
          <w:pPr>
            <w:pStyle w:val="Heading2"/>
            <w:spacing w:before="120" w:after="100" w:afterAutospacing="1"/>
            <w:rPr>
              <w:b w:val="0"/>
              <w:i/>
            </w:rPr>
          </w:pPr>
          <w:r w:rsidRPr="00CE5F5A">
            <w:rPr>
              <w:b w:val="0"/>
              <w:i/>
            </w:rPr>
            <w:t>Department:</w:t>
          </w:r>
        </w:p>
      </w:tc>
      <w:tc>
        <w:tcPr>
          <w:tcW w:w="1915" w:type="dxa"/>
          <w:gridSpan w:val="2"/>
          <w:tcBorders>
            <w:top w:val="nil"/>
            <w:bottom w:val="nil"/>
          </w:tcBorders>
        </w:tcPr>
        <w:p w:rsidR="0081026F" w:rsidRPr="00CE5F5A" w:rsidRDefault="0081026F" w:rsidP="0081026F">
          <w:pPr>
            <w:spacing w:before="120" w:after="100" w:afterAutospacing="1"/>
            <w:rPr>
              <w:rFonts w:ascii="Arial" w:hAnsi="Arial" w:cs="Arial"/>
              <w:bCs/>
              <w:i/>
              <w:sz w:val="20"/>
            </w:rPr>
          </w:pPr>
          <w:r>
            <w:rPr>
              <w:rFonts w:ascii="Arial" w:hAnsi="Arial" w:cs="Arial"/>
              <w:bCs/>
              <w:i/>
              <w:sz w:val="20"/>
            </w:rPr>
            <w:t>Category</w:t>
          </w:r>
          <w:r w:rsidRPr="00CE5F5A">
            <w:rPr>
              <w:rFonts w:ascii="Arial" w:hAnsi="Arial" w:cs="Arial"/>
              <w:bCs/>
              <w:i/>
              <w:sz w:val="20"/>
            </w:rPr>
            <w:t>:</w:t>
          </w:r>
        </w:p>
      </w:tc>
      <w:tc>
        <w:tcPr>
          <w:tcW w:w="1915" w:type="dxa"/>
          <w:tcBorders>
            <w:top w:val="nil"/>
            <w:bottom w:val="nil"/>
          </w:tcBorders>
        </w:tcPr>
        <w:p w:rsidR="0081026F" w:rsidRPr="00CE5F5A" w:rsidRDefault="0081026F" w:rsidP="0081026F">
          <w:pPr>
            <w:spacing w:before="120" w:after="100" w:afterAutospacing="1"/>
            <w:rPr>
              <w:rFonts w:ascii="Arial" w:hAnsi="Arial" w:cs="Arial"/>
              <w:bCs/>
              <w:i/>
              <w:sz w:val="20"/>
            </w:rPr>
          </w:pPr>
          <w:r w:rsidRPr="00CE5F5A">
            <w:rPr>
              <w:rFonts w:ascii="Arial" w:hAnsi="Arial" w:cs="Arial"/>
              <w:bCs/>
              <w:i/>
              <w:sz w:val="20"/>
            </w:rPr>
            <w:t>Policy No:</w:t>
          </w:r>
        </w:p>
      </w:tc>
      <w:tc>
        <w:tcPr>
          <w:tcW w:w="1915" w:type="dxa"/>
          <w:tcBorders>
            <w:top w:val="nil"/>
            <w:bottom w:val="nil"/>
          </w:tcBorders>
        </w:tcPr>
        <w:p w:rsidR="0081026F" w:rsidRPr="00CE5F5A" w:rsidRDefault="0081026F" w:rsidP="0081026F">
          <w:pPr>
            <w:spacing w:before="120" w:after="100" w:afterAutospacing="1"/>
            <w:rPr>
              <w:rFonts w:ascii="Arial" w:hAnsi="Arial" w:cs="Arial"/>
              <w:bCs/>
              <w:i/>
              <w:sz w:val="20"/>
            </w:rPr>
          </w:pPr>
          <w:r w:rsidRPr="00CE5F5A">
            <w:rPr>
              <w:rFonts w:ascii="Arial" w:hAnsi="Arial" w:cs="Arial"/>
              <w:bCs/>
              <w:i/>
              <w:sz w:val="20"/>
            </w:rPr>
            <w:t>Effective Date:</w:t>
          </w:r>
        </w:p>
      </w:tc>
      <w:tc>
        <w:tcPr>
          <w:tcW w:w="1916" w:type="dxa"/>
          <w:tcBorders>
            <w:top w:val="nil"/>
            <w:bottom w:val="nil"/>
          </w:tcBorders>
        </w:tcPr>
        <w:p w:rsidR="0081026F" w:rsidRPr="00CE5F5A" w:rsidRDefault="0081026F" w:rsidP="0081026F">
          <w:pPr>
            <w:pStyle w:val="Heading2"/>
            <w:spacing w:before="120" w:after="100" w:afterAutospacing="1"/>
            <w:rPr>
              <w:b w:val="0"/>
              <w:i/>
            </w:rPr>
          </w:pPr>
          <w:r w:rsidRPr="00CE5F5A">
            <w:rPr>
              <w:b w:val="0"/>
              <w:i/>
            </w:rPr>
            <w:t xml:space="preserve">Page No:  </w:t>
          </w:r>
        </w:p>
      </w:tc>
    </w:tr>
    <w:tr w:rsidR="0081026F">
      <w:tblPrEx>
        <w:tblLook w:val="0000" w:firstRow="0" w:lastRow="0" w:firstColumn="0" w:lastColumn="0" w:noHBand="0" w:noVBand="0"/>
      </w:tblPrEx>
      <w:tc>
        <w:tcPr>
          <w:tcW w:w="1915" w:type="dxa"/>
          <w:tcBorders>
            <w:top w:val="nil"/>
            <w:bottom w:val="triple" w:sz="4" w:space="0" w:color="auto"/>
          </w:tcBorders>
        </w:tcPr>
        <w:p w:rsidR="0081026F" w:rsidRDefault="0081026F" w:rsidP="0081026F">
          <w:pPr>
            <w:pStyle w:val="Heading2"/>
            <w:spacing w:before="120" w:after="120"/>
          </w:pPr>
          <w:r>
            <w:t>Finance</w:t>
          </w:r>
        </w:p>
      </w:tc>
      <w:tc>
        <w:tcPr>
          <w:tcW w:w="1915" w:type="dxa"/>
          <w:gridSpan w:val="2"/>
          <w:tcBorders>
            <w:top w:val="nil"/>
            <w:bottom w:val="triple" w:sz="4" w:space="0" w:color="auto"/>
          </w:tcBorders>
        </w:tcPr>
        <w:p w:rsidR="0081026F" w:rsidRDefault="0081026F" w:rsidP="0081026F">
          <w:pPr>
            <w:spacing w:before="120" w:after="120"/>
            <w:rPr>
              <w:rFonts w:ascii="Arial" w:hAnsi="Arial" w:cs="Arial"/>
              <w:b/>
              <w:bCs/>
              <w:sz w:val="20"/>
            </w:rPr>
          </w:pPr>
          <w:r>
            <w:rPr>
              <w:rFonts w:ascii="Arial" w:hAnsi="Arial" w:cs="Arial"/>
              <w:b/>
              <w:bCs/>
              <w:sz w:val="20"/>
            </w:rPr>
            <w:t>Purchasing</w:t>
          </w:r>
        </w:p>
      </w:tc>
      <w:tc>
        <w:tcPr>
          <w:tcW w:w="1915" w:type="dxa"/>
          <w:tcBorders>
            <w:top w:val="nil"/>
            <w:bottom w:val="triple" w:sz="4" w:space="0" w:color="auto"/>
          </w:tcBorders>
        </w:tcPr>
        <w:p w:rsidR="0081026F" w:rsidRDefault="0081026F" w:rsidP="0081026F">
          <w:pPr>
            <w:pStyle w:val="Heading2"/>
            <w:spacing w:before="120" w:after="120"/>
          </w:pPr>
          <w:r>
            <w:t>20.670</w:t>
          </w:r>
        </w:p>
      </w:tc>
      <w:tc>
        <w:tcPr>
          <w:tcW w:w="1915" w:type="dxa"/>
          <w:tcBorders>
            <w:top w:val="nil"/>
            <w:bottom w:val="triple" w:sz="4" w:space="0" w:color="auto"/>
          </w:tcBorders>
        </w:tcPr>
        <w:p w:rsidR="0081026F" w:rsidRDefault="0014300F" w:rsidP="0081026F">
          <w:pPr>
            <w:pStyle w:val="Heading2"/>
            <w:spacing w:before="120" w:after="120"/>
            <w:rPr>
              <w:rStyle w:val="PageNumber"/>
            </w:rPr>
          </w:pPr>
          <w:r>
            <w:rPr>
              <w:rStyle w:val="PageNumber"/>
            </w:rPr>
            <w:t>12/26/2014</w:t>
          </w:r>
        </w:p>
      </w:tc>
      <w:tc>
        <w:tcPr>
          <w:tcW w:w="1916" w:type="dxa"/>
          <w:tcBorders>
            <w:top w:val="nil"/>
            <w:bottom w:val="triple" w:sz="4" w:space="0" w:color="auto"/>
          </w:tcBorders>
        </w:tcPr>
        <w:p w:rsidR="0081026F" w:rsidRDefault="0081026F" w:rsidP="0081026F">
          <w:pPr>
            <w:pStyle w:val="Heading2"/>
            <w:spacing w:before="120" w:after="120"/>
          </w:pPr>
          <w:r>
            <w:rPr>
              <w:rStyle w:val="PageNumber"/>
            </w:rPr>
            <w:fldChar w:fldCharType="begin"/>
          </w:r>
          <w:r>
            <w:rPr>
              <w:rStyle w:val="PageNumber"/>
            </w:rPr>
            <w:instrText xml:space="preserve"> PAGE </w:instrText>
          </w:r>
          <w:r>
            <w:rPr>
              <w:rStyle w:val="PageNumber"/>
            </w:rPr>
            <w:fldChar w:fldCharType="separate"/>
          </w:r>
          <w:r w:rsidR="00BE4D4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E4D45">
            <w:rPr>
              <w:rStyle w:val="PageNumber"/>
              <w:noProof/>
            </w:rPr>
            <w:t>1</w:t>
          </w:r>
          <w:r>
            <w:rPr>
              <w:rStyle w:val="PageNumber"/>
            </w:rPr>
            <w:fldChar w:fldCharType="end"/>
          </w:r>
        </w:p>
      </w:tc>
    </w:tr>
  </w:tbl>
  <w:p w:rsidR="0081026F" w:rsidRDefault="0081026F" w:rsidP="0081026F">
    <w:pPr>
      <w:pStyle w:val="Heade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2A8"/>
    <w:multiLevelType w:val="hybridMultilevel"/>
    <w:tmpl w:val="E060427C"/>
    <w:lvl w:ilvl="0" w:tplc="E7CACE68">
      <w:start w:val="1"/>
      <w:numFmt w:val="decimal"/>
      <w:lvlText w:val="%1."/>
      <w:lvlJc w:val="left"/>
      <w:pPr>
        <w:tabs>
          <w:tab w:val="num" w:pos="360"/>
        </w:tabs>
        <w:ind w:left="360" w:hanging="360"/>
      </w:pPr>
      <w:rPr>
        <w:rFonts w:hint="default"/>
      </w:rPr>
    </w:lvl>
    <w:lvl w:ilvl="1" w:tplc="D0FA87E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F0255"/>
    <w:multiLevelType w:val="hybridMultilevel"/>
    <w:tmpl w:val="68F4B1D6"/>
    <w:lvl w:ilvl="0" w:tplc="69882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818E4"/>
    <w:multiLevelType w:val="hybridMultilevel"/>
    <w:tmpl w:val="3B5E0F12"/>
    <w:lvl w:ilvl="0" w:tplc="FBA0F2C4">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D40B4"/>
    <w:multiLevelType w:val="multilevel"/>
    <w:tmpl w:val="A534528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5665E2"/>
    <w:multiLevelType w:val="hybridMultilevel"/>
    <w:tmpl w:val="BCDCBFE2"/>
    <w:lvl w:ilvl="0" w:tplc="F05A5E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E456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5731431C"/>
    <w:multiLevelType w:val="multilevel"/>
    <w:tmpl w:val="E06042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8087D10"/>
    <w:multiLevelType w:val="hybridMultilevel"/>
    <w:tmpl w:val="5A90CFEE"/>
    <w:lvl w:ilvl="0" w:tplc="263C2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974B35"/>
    <w:multiLevelType w:val="multilevel"/>
    <w:tmpl w:val="E06042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DED0F35"/>
    <w:multiLevelType w:val="hybridMultilevel"/>
    <w:tmpl w:val="52ECB34A"/>
    <w:lvl w:ilvl="0" w:tplc="C6FA0B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6E6CD8"/>
    <w:multiLevelType w:val="hybridMultilevel"/>
    <w:tmpl w:val="336618C6"/>
    <w:lvl w:ilvl="0" w:tplc="FBA0F2C4">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0"/>
  </w:num>
  <w:num w:numId="5">
    <w:abstractNumId w:val="5"/>
  </w:num>
  <w:num w:numId="6">
    <w:abstractNumId w:val="3"/>
  </w:num>
  <w:num w:numId="7">
    <w:abstractNumId w:val="8"/>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10"/>
    <w:rsid w:val="000F0596"/>
    <w:rsid w:val="0014300F"/>
    <w:rsid w:val="004D633A"/>
    <w:rsid w:val="005A29AB"/>
    <w:rsid w:val="007D25C6"/>
    <w:rsid w:val="0081026F"/>
    <w:rsid w:val="00972F2E"/>
    <w:rsid w:val="009947D4"/>
    <w:rsid w:val="009F7710"/>
    <w:rsid w:val="00A2263F"/>
    <w:rsid w:val="00A40502"/>
    <w:rsid w:val="00B95DF5"/>
    <w:rsid w:val="00BE4D45"/>
    <w:rsid w:val="00BE4F59"/>
    <w:rsid w:val="00DA5695"/>
    <w:rsid w:val="00DF063C"/>
    <w:rsid w:val="00ED54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919B00-DD9C-45BF-8437-26D23C56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EY" w:hAnsi="EY"/>
      <w:sz w:val="44"/>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080" w:hanging="720"/>
    </w:pPr>
  </w:style>
  <w:style w:type="paragraph" w:styleId="BodyTextIndent2">
    <w:name w:val="Body Text Indent 2"/>
    <w:basedOn w:val="Normal"/>
    <w:pPr>
      <w:ind w:left="1440" w:hanging="1440"/>
    </w:pPr>
  </w:style>
  <w:style w:type="paragraph" w:styleId="BodyTextIndent3">
    <w:name w:val="Body Text Indent 3"/>
    <w:basedOn w:val="Normal"/>
    <w:pPr>
      <w:ind w:left="1440"/>
    </w:pPr>
  </w:style>
  <w:style w:type="table" w:styleId="TableGrid">
    <w:name w:val="Table Grid"/>
    <w:basedOn w:val="TableNormal"/>
    <w:rsid w:val="00CA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7815"/>
    <w:pPr>
      <w:tabs>
        <w:tab w:val="center" w:pos="4320"/>
        <w:tab w:val="right" w:pos="8640"/>
      </w:tabs>
    </w:pPr>
  </w:style>
  <w:style w:type="paragraph" w:styleId="Footer">
    <w:name w:val="footer"/>
    <w:basedOn w:val="Normal"/>
    <w:rsid w:val="00CC7815"/>
    <w:pPr>
      <w:tabs>
        <w:tab w:val="center" w:pos="4320"/>
        <w:tab w:val="right" w:pos="8640"/>
      </w:tabs>
    </w:pPr>
  </w:style>
  <w:style w:type="character" w:styleId="PageNumber">
    <w:name w:val="page number"/>
    <w:basedOn w:val="DefaultParagraphFont"/>
    <w:rsid w:val="00CC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vt:lpstr>
    </vt:vector>
  </TitlesOfParts>
  <Company>Ernst &amp; Young</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Charles L. Witthoft</dc:creator>
  <cp:lastModifiedBy>Yanosh, Amy</cp:lastModifiedBy>
  <cp:revision>4</cp:revision>
  <cp:lastPrinted>2001-04-05T17:07:00Z</cp:lastPrinted>
  <dcterms:created xsi:type="dcterms:W3CDTF">2015-02-05T19:00:00Z</dcterms:created>
  <dcterms:modified xsi:type="dcterms:W3CDTF">2015-04-17T15:51:00Z</dcterms:modified>
</cp:coreProperties>
</file>